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sectPr>
          <w:type w:val="nextPage"/>
          <w:pgSz w:w="11906" w:h="16838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240" w:charSpace="4294961151"/>
        </w:sectPr>
        <w:pStyle w:val="Normal"/>
        <w:rPr/>
      </w:pPr>
      <w:r>
        <w:rPr/>
      </w:r>
    </w:p>
    <w:tbl>
      <w:tblPr>
        <w:tblW w:w="10435" w:type="dxa"/>
        <w:jc w:val="left"/>
        <w:tblInd w:w="-2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50" w:type="dxa"/>
          <w:bottom w:w="0" w:type="dxa"/>
          <w:right w:w="70" w:type="dxa"/>
        </w:tblCellMar>
      </w:tblPr>
      <w:tblGrid>
        <w:gridCol w:w="1841"/>
        <w:gridCol w:w="2839"/>
        <w:gridCol w:w="422"/>
        <w:gridCol w:w="3688"/>
        <w:gridCol w:w="3"/>
        <w:gridCol w:w="1642"/>
      </w:tblGrid>
      <w:tr>
        <w:trPr/>
        <w:tc>
          <w:tcPr>
            <w:tcW w:w="1043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spacing w:before="238" w:after="62"/>
              <w:jc w:val="center"/>
              <w:rPr/>
            </w:pPr>
            <w:r>
              <w:rPr>
                <w:rFonts w:eastAsia="Times New Roman" w:cs="Calibri"/>
                <w:b/>
                <w:i/>
                <w:sz w:val="24"/>
                <w:szCs w:val="24"/>
                <w:lang w:eastAsia="it-IT"/>
              </w:rPr>
              <w:t>I.I.S.  “ENZO FERRARI” BATTIPAGLIA</w:t>
            </w: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 xml:space="preserve">         </w:t>
            </w:r>
          </w:p>
          <w:p>
            <w:pPr>
              <w:pStyle w:val="Normal"/>
              <w:spacing w:before="238" w:after="62"/>
              <w:jc w:val="center"/>
              <w:rPr/>
            </w:pPr>
            <w:r>
              <w:rPr>
                <w:rFonts w:eastAsia="Calibri" w:cs="Calibri"/>
                <w:b/>
                <w:sz w:val="24"/>
                <w:szCs w:val="24"/>
                <w:lang w:eastAsia="it-IT"/>
              </w:rPr>
              <w:t xml:space="preserve"> </w:t>
            </w: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>Anno scolastico 202</w:t>
            </w: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>1</w:t>
            </w: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>/2</w:t>
            </w: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>2</w:t>
            </w:r>
          </w:p>
          <w:p>
            <w:pPr>
              <w:pStyle w:val="Normal"/>
              <w:numPr>
                <w:ilvl w:val="0"/>
                <w:numId w:val="0"/>
              </w:numPr>
              <w:spacing w:before="240" w:after="60"/>
              <w:jc w:val="center"/>
              <w:outlineLvl w:val="6"/>
              <w:rPr/>
            </w:pP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 xml:space="preserve">Programma          CLASSE    2      sez. </w:t>
            </w:r>
            <w:r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       B                            </w:t>
            </w: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 xml:space="preserve">N. 31 </w:t>
            </w:r>
          </w:p>
        </w:tc>
      </w:tr>
      <w:tr>
        <w:trPr>
          <w:trHeight w:val="454" w:hRule="atLeast"/>
        </w:trPr>
        <w:tc>
          <w:tcPr>
            <w:tcW w:w="46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Docente:</w:t>
            </w: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 xml:space="preserve"> Zarrillo Giovanni</w:t>
            </w:r>
          </w:p>
        </w:tc>
        <w:tc>
          <w:tcPr>
            <w:tcW w:w="575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Disciplina: Scienze motorie e sportive</w:t>
            </w:r>
          </w:p>
        </w:tc>
      </w:tr>
      <w:tr>
        <w:trPr>
          <w:cantSplit w:val="true"/>
        </w:trPr>
        <w:tc>
          <w:tcPr>
            <w:tcW w:w="879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/>
            </w:pPr>
            <w:r>
              <w:rPr>
                <w:rFonts w:eastAsia="Calibri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eastAsia="Times New Roman" w:cs="Calibri"/>
                <w:sz w:val="24"/>
                <w:szCs w:val="24"/>
                <w:lang w:eastAsia="it-IT"/>
              </w:rPr>
              <w:t xml:space="preserve">Numero di ore settimanali di lezione                                                                              </w:t>
            </w:r>
          </w:p>
        </w:tc>
        <w:tc>
          <w:tcPr>
            <w:tcW w:w="1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N.   2</w:t>
            </w:r>
          </w:p>
        </w:tc>
      </w:tr>
      <w:tr>
        <w:trPr>
          <w:trHeight w:val="69" w:hRule="atLeast"/>
          <w:cantSplit w:val="true"/>
        </w:trPr>
        <w:tc>
          <w:tcPr>
            <w:tcW w:w="510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Numero di ore annuali previste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curriculari</w:t>
            </w:r>
          </w:p>
        </w:tc>
        <w:tc>
          <w:tcPr>
            <w:tcW w:w="16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N.  66</w:t>
            </w:r>
          </w:p>
        </w:tc>
      </w:tr>
      <w:tr>
        <w:trPr>
          <w:trHeight w:val="67" w:hRule="atLeast"/>
          <w:cantSplit w:val="true"/>
        </w:trPr>
        <w:tc>
          <w:tcPr>
            <w:tcW w:w="510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Numero di ore annuali svolte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curriculari</w:t>
            </w:r>
          </w:p>
        </w:tc>
        <w:tc>
          <w:tcPr>
            <w:tcW w:w="16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 xml:space="preserve">N.  </w:t>
            </w: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>66</w:t>
            </w:r>
          </w:p>
        </w:tc>
      </w:tr>
      <w:tr>
        <w:trPr>
          <w:trHeight w:val="716" w:hRule="atLeast"/>
          <w:cantSplit w:val="true"/>
        </w:trPr>
        <w:tc>
          <w:tcPr>
            <w:tcW w:w="18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Contenuti svolti</w:t>
            </w:r>
          </w:p>
        </w:tc>
        <w:tc>
          <w:tcPr>
            <w:tcW w:w="859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Paragrafoelenco"/>
              <w:numPr>
                <w:ilvl w:val="0"/>
                <w:numId w:val="1"/>
              </w:numPr>
              <w:rPr/>
            </w:pPr>
            <w:r>
              <w:rPr>
                <w:rFonts w:cs="Calibri"/>
                <w:i/>
                <w:sz w:val="24"/>
                <w:szCs w:val="24"/>
              </w:rPr>
              <w:t>Percezione del sé attraverso lo sviluppo delle capacità motorie ed espressive</w:t>
            </w:r>
          </w:p>
          <w:p>
            <w:pPr>
              <w:pStyle w:val="Paragrafoelenco"/>
              <w:rPr>
                <w:rFonts w:cs="Calibri"/>
                <w:i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cs="Calibri"/>
                <w:sz w:val="24"/>
                <w:szCs w:val="24"/>
              </w:rPr>
              <w:t>Riscaldamento, fase cardiovascolare e defaticamento; esercizi in situazioni dinamiche semplici; esercizi a corpo libero; esercizi eseguiti in situazioni spazio-temporali diverse; semplici esercizi di mobilità articolare; allungamento muscolare; potenziamento muscolare a carattere generale; miglioramento delle capacità coordinative e condizionali;  attività ed esercizi di equilibrio in situazioni statiche e dinamiche; esercizi per il controllo e la percezione della postura corretta;  semplici percorsi in palestra utilizzando ostacoli artificiali.</w:t>
            </w:r>
          </w:p>
          <w:p>
            <w:pPr>
              <w:pStyle w:val="Normal"/>
              <w:jc w:val="both"/>
              <w:rPr>
                <w:rFonts w:cs="Calibri"/>
                <w:i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</w:r>
          </w:p>
        </w:tc>
      </w:tr>
      <w:tr>
        <w:trPr>
          <w:trHeight w:val="795" w:hRule="atLeast"/>
          <w:cantSplit w:val="true"/>
        </w:trPr>
        <w:tc>
          <w:tcPr>
            <w:tcW w:w="18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rPr>
                <w:rFonts w:eastAsia="Times New Roman" w:cs="Calibri"/>
                <w:i/>
                <w:i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i/>
                <w:sz w:val="24"/>
                <w:szCs w:val="24"/>
                <w:lang w:eastAsia="it-IT"/>
              </w:rPr>
            </w:r>
          </w:p>
        </w:tc>
        <w:tc>
          <w:tcPr>
            <w:tcW w:w="859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Paragrafoelenco"/>
              <w:numPr>
                <w:ilvl w:val="0"/>
                <w:numId w:val="1"/>
              </w:numPr>
              <w:jc w:val="both"/>
              <w:rPr>
                <w:rFonts w:cs="Calibri"/>
                <w:i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Lo sport, le regole ed il fair play.</w:t>
            </w:r>
          </w:p>
          <w:p>
            <w:pPr>
              <w:pStyle w:val="Normal"/>
              <w:jc w:val="both"/>
              <w:rPr>
                <w:rFonts w:cs="Calibri"/>
                <w:i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cs="Calibri"/>
                <w:sz w:val="24"/>
                <w:szCs w:val="24"/>
              </w:rPr>
              <w:t>Fondamentali del gioco del tennis tavolo e del badminton, pallavolo, calcio e palla canestro, le</w:t>
            </w:r>
            <w:r>
              <w:rPr>
                <w:rFonts w:cs="Calibri"/>
                <w:i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regole di gioco e la tattica individuale. </w:t>
            </w:r>
          </w:p>
          <w:p>
            <w:pPr>
              <w:pStyle w:val="Normal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cs="Calibri"/>
                <w:sz w:val="24"/>
                <w:szCs w:val="24"/>
              </w:rPr>
              <w:t>DID: elementi di tecnica, tattica e regolamento della pallavolo, del tennis tavolo, del badminton,  olimpiadi Tokyo 2021 antiche e moderne.</w:t>
            </w:r>
          </w:p>
          <w:p>
            <w:pPr>
              <w:pStyle w:val="Normal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</w:r>
          </w:p>
        </w:tc>
      </w:tr>
      <w:tr>
        <w:trPr>
          <w:trHeight w:val="1166" w:hRule="atLeast"/>
          <w:cantSplit w:val="true"/>
        </w:trPr>
        <w:tc>
          <w:tcPr>
            <w:tcW w:w="18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</w:r>
          </w:p>
        </w:tc>
        <w:tc>
          <w:tcPr>
            <w:tcW w:w="859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Paragrafoelenco"/>
              <w:numPr>
                <w:ilvl w:val="0"/>
                <w:numId w:val="1"/>
              </w:numPr>
              <w:jc w:val="both"/>
              <w:rPr/>
            </w:pPr>
            <w:r>
              <w:rPr>
                <w:rFonts w:cs="Calibri"/>
                <w:i/>
                <w:sz w:val="24"/>
                <w:szCs w:val="24"/>
              </w:rPr>
              <w:t>Salute, benessere, sicurezza e prevenzione.</w:t>
            </w:r>
          </w:p>
          <w:p>
            <w:pPr>
              <w:pStyle w:val="Paragrafoelenco"/>
              <w:jc w:val="both"/>
              <w:rPr>
                <w:rFonts w:cs="Calibri"/>
                <w:i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cs="Calibri"/>
                <w:sz w:val="24"/>
                <w:szCs w:val="24"/>
              </w:rPr>
              <w:t>DID: informazioni sulle attività di riscaldamento, allenamento e sulle funzioni cardio-respiratorie; alimentazione e attività fisica; il primo soccorso: i traumi nella pratica sportiva; i benefici dell’attività fisica; educazione stradale: la strada bene comune, alcol e guida, l’eccesso di velocità e l’obbligo di soccorso, l’obbligo dell’uso delle cinture di sicurezza e del casco, norme di comportamento dei ciclisti, dei pedoni e dei monopattini elettrici.</w:t>
            </w:r>
          </w:p>
          <w:p>
            <w:pPr>
              <w:pStyle w:val="Normal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</w:r>
          </w:p>
        </w:tc>
      </w:tr>
      <w:tr>
        <w:trPr>
          <w:trHeight w:val="701" w:hRule="atLeast"/>
          <w:cantSplit w:val="true"/>
        </w:trPr>
        <w:tc>
          <w:tcPr>
            <w:tcW w:w="18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</w:r>
          </w:p>
        </w:tc>
        <w:tc>
          <w:tcPr>
            <w:tcW w:w="859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Paragrafoelenco"/>
              <w:numPr>
                <w:ilvl w:val="0"/>
                <w:numId w:val="1"/>
              </w:numPr>
              <w:jc w:val="both"/>
              <w:rPr/>
            </w:pPr>
            <w:r>
              <w:rPr>
                <w:rFonts w:cs="Calibri"/>
                <w:i/>
                <w:sz w:val="24"/>
                <w:szCs w:val="24"/>
              </w:rPr>
              <w:t xml:space="preserve"> </w:t>
            </w:r>
            <w:r>
              <w:rPr>
                <w:rFonts w:cs="Calibri"/>
                <w:i/>
                <w:sz w:val="24"/>
                <w:szCs w:val="24"/>
              </w:rPr>
              <w:t>Le attività in ambiente naturale.</w:t>
            </w:r>
          </w:p>
          <w:p>
            <w:pPr>
              <w:pStyle w:val="Normal"/>
              <w:jc w:val="both"/>
              <w:rPr>
                <w:rFonts w:cs="Calibri"/>
                <w:i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cs="Calibri"/>
                <w:sz w:val="24"/>
                <w:szCs w:val="24"/>
              </w:rPr>
              <w:t xml:space="preserve">Orientarsi in contesti diversificati; marcia e corsa in ambiente naturale. </w:t>
            </w:r>
          </w:p>
          <w:p>
            <w:pPr>
              <w:pStyle w:val="Normal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cs="Calibri"/>
                <w:sz w:val="24"/>
                <w:szCs w:val="24"/>
              </w:rPr>
              <w:t>DID: Le attività in ambiente naturale; l’associazionismo sportivo e lo scoutismo</w:t>
              <w:tab/>
            </w:r>
          </w:p>
          <w:p>
            <w:pPr>
              <w:pStyle w:val="Normal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</w:r>
          </w:p>
        </w:tc>
      </w:tr>
      <w:tr>
        <w:trPr>
          <w:trHeight w:val="701" w:hRule="atLeast"/>
          <w:cantSplit w:val="true"/>
        </w:trPr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Educazione civica</w:t>
            </w:r>
          </w:p>
        </w:tc>
        <w:tc>
          <w:tcPr>
            <w:tcW w:w="859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cs="Calibri"/>
                <w:color w:val="FF0000"/>
                <w:sz w:val="24"/>
                <w:szCs w:val="24"/>
              </w:rPr>
              <w:t>Classe prima: l’educazione stradale e il rispetto delle regole comuni</w:t>
            </w:r>
          </w:p>
          <w:p>
            <w:pPr>
              <w:pStyle w:val="Normal"/>
              <w:jc w:val="both"/>
              <w:rPr/>
            </w:pPr>
            <w:r>
              <w:rPr>
                <w:rFonts w:cs="Calibri"/>
                <w:color w:val="FF0000"/>
                <w:sz w:val="24"/>
                <w:szCs w:val="24"/>
              </w:rPr>
              <w:t>Classe seconda: Il fair play</w:t>
            </w:r>
          </w:p>
        </w:tc>
      </w:tr>
      <w:tr>
        <w:trPr>
          <w:trHeight w:val="701" w:hRule="atLeast"/>
          <w:cantSplit w:val="true"/>
        </w:trPr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Attività di potenziamento</w:t>
            </w:r>
          </w:p>
        </w:tc>
        <w:tc>
          <w:tcPr>
            <w:tcW w:w="859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</w:tcPr>
          <w:p>
            <w:pPr>
              <w:pStyle w:val="Normal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I campioni nella vita e nello sport: </w:t>
            </w:r>
          </w:p>
          <w:p>
            <w:pPr>
              <w:pStyle w:val="Normal"/>
              <w:jc w:val="both"/>
              <w:rPr/>
            </w:pPr>
            <w:r>
              <w:rPr>
                <w:rFonts w:cs="Calibri"/>
                <w:sz w:val="24"/>
                <w:szCs w:val="24"/>
              </w:rPr>
              <w:t>Nadia Comaneci, Samia Yusuf Omar, Abebe Bikila, Peter Norman, Tommie Smith e John Carlos, Arpad Veisz, Bebe Vio, Alex Zanardi, Gino Bartali, Muhammad Ali, Pietro Mennea.</w:t>
            </w:r>
          </w:p>
          <w:p>
            <w:pPr>
              <w:pStyle w:val="Normal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</w:r>
          </w:p>
        </w:tc>
      </w:tr>
      <w:tr>
        <w:trPr>
          <w:trHeight w:val="701" w:hRule="atLeast"/>
          <w:cantSplit w:val="true"/>
        </w:trPr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Firma del Docente</w:t>
            </w:r>
          </w:p>
        </w:tc>
        <w:tc>
          <w:tcPr>
            <w:tcW w:w="859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rFonts w:eastAsia="Times New Roman" w:cs="Calibri"/>
                <w:smallCaps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mallCaps/>
                <w:sz w:val="24"/>
                <w:szCs w:val="24"/>
                <w:lang w:eastAsia="it-IT"/>
              </w:rPr>
              <w:t>Prof. Zarrillo giovanni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i/>
        <w:szCs w:val="24"/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Arial"/>
      <w:color w:val="00000A"/>
      <w:sz w:val="24"/>
      <w:szCs w:val="24"/>
      <w:lang w:val="it-IT" w:eastAsia="zh-CN" w:bidi="hi-IN"/>
    </w:rPr>
  </w:style>
  <w:style w:type="character" w:styleId="WW8Num10z0">
    <w:name w:val="WW8Num10z0"/>
    <w:qFormat/>
    <w:rPr>
      <w:rFonts w:cs="Calibri"/>
      <w:i/>
      <w:sz w:val="24"/>
      <w:szCs w:val="24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ListLabel1">
    <w:name w:val="ListLabel 1"/>
    <w:qFormat/>
    <w:rPr>
      <w:rFonts w:cs="Calibri"/>
      <w:i/>
      <w:sz w:val="24"/>
      <w:szCs w:val="24"/>
    </w:rPr>
  </w:style>
  <w:style w:type="character" w:styleId="ListLabel2">
    <w:name w:val="ListLabel 2"/>
    <w:qFormat/>
    <w:rPr>
      <w:rFonts w:cs="Calibri"/>
      <w:i/>
      <w:sz w:val="24"/>
      <w:szCs w:val="24"/>
    </w:rPr>
  </w:style>
  <w:style w:type="character" w:styleId="ListLabel3">
    <w:name w:val="ListLabel 3"/>
    <w:qFormat/>
    <w:rPr>
      <w:rFonts w:cs="Calibri"/>
      <w:i/>
      <w:sz w:val="24"/>
      <w:szCs w:val="24"/>
    </w:rPr>
  </w:style>
  <w:style w:type="character" w:styleId="ListLabel4">
    <w:name w:val="ListLabel 4"/>
    <w:qFormat/>
    <w:rPr>
      <w:rFonts w:cs="Calibri"/>
      <w:i/>
      <w:sz w:val="24"/>
      <w:szCs w:val="24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Paragrafoelenco">
    <w:name w:val="Paragrafo elenco"/>
    <w:basedOn w:val="Normal"/>
    <w:qFormat/>
    <w:pPr>
      <w:spacing w:before="0" w:after="0"/>
      <w:ind w:left="720" w:hanging="0"/>
      <w:contextualSpacing/>
    </w:pPr>
    <w:rPr/>
  </w:style>
  <w:style w:type="numbering" w:styleId="WW8Num10">
    <w:name w:val="WW8Num10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LibreOffice/5.3.4.2$Windows_x86 LibreOffice_project/f82d347ccc0be322489bf7da61d7e4ad13fe2ff3</Application>
  <Pages>3</Pages>
  <Words>331</Words>
  <Characters>2022</Characters>
  <CharactersWithSpaces>2477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2021-06-11T14:48:10Z</dcterms:created>
  <dc:creator/>
  <dc:description/>
  <dc:language>it-IT</dc:language>
  <cp:lastModifiedBy/>
  <dcterms:modified xsi:type="dcterms:W3CDTF">2022-06-06T11:59:36Z</dcterms:modified>
  <cp:revision>5</cp:revision>
  <dc:subject/>
  <dc:title/>
</cp:coreProperties>
</file>